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ORGANIZATIVA</w:t>
      </w:r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actualización: 06/04/2026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o9kofz1ug6n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1002.- Normativa aplicable a la entidad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sociedad se rige por un protocolo de prevención de riesgos penales: código ético y de conductas prohibidas aprobado por el Consejo de Administración en su sesión de 11 de febrero de 2016 y por las siguientes: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240" w:line="240" w:lineRule="auto"/>
        <w:ind w:left="720" w:right="0" w:hanging="360"/>
        <w:rPr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Real Decreto Legislativo 1/2010, de 2 de julio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="240" w:lineRule="auto"/>
        <w:ind w:left="720" w:right="0" w:hanging="360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Real Decreto 1251/1999, de 16 de julio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40" w:lineRule="auto"/>
        <w:ind w:left="720" w:right="0" w:hanging="360"/>
        <w:rPr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Ley 9/2017, de 8 de noviembre, de Contratos del Sector Público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right="0" w:hanging="360"/>
        <w:rPr/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Ley 19/2013, de 9 de diciembre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right="0" w:hanging="360"/>
        <w:rPr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Ley 12/2014, de 26 de diciembre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right="0" w:hanging="360"/>
        <w:rPr/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Ley Orgánica de Protección de Datos Personales y garantía de los derechos digitales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right="0" w:hanging="360"/>
        <w:rPr/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Reglamento general de protección de datos (Reglamento (UE) 2016/679)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line="240" w:lineRule="auto"/>
        <w:ind w:left="720" w:right="0" w:hanging="360"/>
        <w:rPr/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Descargar código ético y de conductas prohibidas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z7tjysft4lj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1004.- Información relativa a las funciones y competencias, al objeto social o al fin fundacional de la entidad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ARTICULO 2. DE LOS ESTATUTOS DE LA ENTIDAD MERCANTIL “CLUB BALONCESTO GRAN CANARIA CLARET SOCIEDAD ANÓNIMA DEPORTIVA. DE CARÁCTER UNIPERSONAL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objeto social consistirá en:</w:t>
        <w:br w:type="textWrapping"/>
        <w:t xml:space="preserve">La participación en competiciones deportivas oficiales de carácter profesional de la modalidad deportiva baloncesto</w:t>
        <w:br w:type="textWrapping"/>
        <w:t xml:space="preserve">La promoción y desarrollo de actividades deportivas de una o varias modalidades deportivas.</w:t>
        <w:br w:type="textWrapping"/>
        <w:t xml:space="preserve">La explotación y comercialización de espectáculos deportivos, productos y derechos de todo tipo vinculados a lo relacionados con la modalidad deportiva, el equipo profesional y los medios del equipo.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Todas estas actividades podrán ser desarrolladas total o parcialmente, a través de Sociedades filiales en las que las que la Sociedad ostente la titularidad de acciones o cualquier tipo de participación y que tengan por objeto social idéntico o análogo.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xtudldka5ve5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1018.- Organigrama de la entidad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0" distT="0" distL="0" distR="0">
            <wp:extent cx="5399405" cy="4102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410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kt7o4uranbc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1029.- Capital social, dotación fundacional o participación y recursos que financian las actividades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Club Baloncesto Gran Canaria Claret, S.A.D. es una sociedad anónima mercantil en la que el socio único es la Fundación Canaria del Deporte.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capital social está formado por 86.136 acciones nominativas a 18,18 euros nominales cada una , totalmente suscritas y desembolsadas.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importe del capital mínimo establecido por la Comisión Mixta de Transformación de los Clubes de Baloncesto en Sociedades Anónimas Deportivas en fecha 7 de marzo de 1996 fue de 1.385.539 euros, de acuerdo con lo previsto en su día por el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artículo 3 del Real Decreto 1084/1991, de 5 de julio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sobre Sociedades Anónimas Deportivas. Según establece el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Real Decreto 1251/1999, de 16 de Julio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sobre Sociedades Anónimas Deportivas (artículo 3.8), el capital no podrá ser inferior al 50% del establecido en el momento de la transformación o en su caso, para el acceso a la competición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actividades se financian principalmente a través de aportaciones recibidas del Cabildo insular de Gran Canaria, así como con recursos propios, obtenidos principalmente a través de las ventas de derechos de Televisión, Patrocinios con entidades públicas y ventas de entradas y abonos.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wdv51skuic2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1031.- Estatutos por los que ha de regirse la entidad y sus modificaciones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Descargar estatutos al final de la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página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oe.es/eli/es-cn/l/2014/12/26/12" TargetMode="External"/><Relationship Id="rId10" Type="http://schemas.openxmlformats.org/officeDocument/2006/relationships/hyperlink" Target="https://www.boe.es/eli/es/l/2013/12/09/19/con" TargetMode="External"/><Relationship Id="rId13" Type="http://schemas.openxmlformats.org/officeDocument/2006/relationships/hyperlink" Target="https://www.boe.es/doue/2016/119/L00001-00088.pdf" TargetMode="External"/><Relationship Id="rId12" Type="http://schemas.openxmlformats.org/officeDocument/2006/relationships/hyperlink" Target="https://www.boe.es/eli/es/lo/2018/12/05/3/c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oe.es/eli/es/l/2017/11/08/9/con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cdn.cbgrancanaria.net/2024/05/16150039/Modelo-de-compliance-penal-CB-Gran-Canaria-Claret-SADU.odt" TargetMode="External"/><Relationship Id="rId17" Type="http://schemas.openxmlformats.org/officeDocument/2006/relationships/hyperlink" Target="https://www.boe.es/buscar/act.php?id=BOE-A-1999-15686" TargetMode="External"/><Relationship Id="rId16" Type="http://schemas.openxmlformats.org/officeDocument/2006/relationships/hyperlink" Target="https://www.boe.es/buscar/pdf/1991/BOE-A-1991-18227-consolidado.pdf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3.png"/><Relationship Id="rId18" Type="http://schemas.openxmlformats.org/officeDocument/2006/relationships/hyperlink" Target="https://cbgrancanaria.net/portal-de-transparencia/institucional-y-organizativa/" TargetMode="External"/><Relationship Id="rId7" Type="http://schemas.openxmlformats.org/officeDocument/2006/relationships/hyperlink" Target="https://www.boe.es/eli/es/rdlg/2010/07/02/1" TargetMode="External"/><Relationship Id="rId8" Type="http://schemas.openxmlformats.org/officeDocument/2006/relationships/hyperlink" Target="https://www.boe.es/eli/es/rd/1999/07/16/1251/c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