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FUNCIONES PERSONAL DE LIBRE NOMBRAMIENTO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Presidente Ejecutivo: Sitapha Alfred Savane Sagna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Director Ejecutivo: Juan Ramón Marrero Prats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Adjunto Presidencia y Director de Categorías de Formación: Juan Miguel Morales Pérez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Director Deportivo: Willelmo Villar Rodriguez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Director Administración: Carlos Suárez Olea Tudela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Director de Marketing y Comercial: Paris Garcia Vega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Director de comunicación: Jesús Morales Almeida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Director de Eventos y producción: Alejo Melero Olivares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2700" cy="19685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45640" y="377046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2700" cy="1968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6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CLUB DE BALONCESTO GRAN CANARIA CLARET, S.A.D.</w:t>
        <w:br w:type="textWrapping"/>
        <w:t xml:space="preserve"> N.I.F.: A35310598</w:t>
        <w:br w:type="textWrapping"/>
        <w:t xml:space="preserve"> Domicilio: Pabellón Insular Vega de San José, Córdoba s/n, Las Palmas de Gran Canaria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2700" cy="1968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5640" y="377046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2700" cy="1968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6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dqg8gegxooza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NOTA ACLARATORIA SOBRE FUNCIONES OPERATIVAS Y SU RELACIÓN CON LOS ESTATUTOS SOCIALES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los efectos de interpretación organizativa y cumplimiento normativo interno, se hace constar lo siguiente: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2700" cy="19685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45640" y="377046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2700" cy="19685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6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jc w:val="both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yjmlwfy6tnwf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1. Cargos operativos no contemplados en los estatutos</w:t>
      </w:r>
    </w:p>
    <w:p w:rsidR="00000000" w:rsidDel="00000000" w:rsidP="00000000" w:rsidRDefault="00000000" w:rsidRPr="00000000" w14:paraId="00000021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Los siguientes cargos forman parte de la estructura operativa del Club de Baloncesto Gran Canaria Claret, S.A.D., y son desempeñados por las personas que se indican: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24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Presidente Ejecutivo: Sitapha Alfred Savane Sagna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Director Ejecutivo: Juan Ramón Marrero Prats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Adjunto a Presidencia y Director de Categorías de Formación: Juan Miguel Morales Pérez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Director Deportivo: Willelmo Villar Rodríguez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Director de Administración: Carlos Suárez Olea Tudela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Director de Marketing y Comercial: Paris García Vega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Director de Comunicación: Jesús Morales Almeida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Director de Eventos y Producción: Alejo Melero Olivares</w:t>
        <w:br w:type="textWrapping"/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2700" cy="1968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45640" y="377046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2700" cy="1968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6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No reconocimiento estatutario</w:t>
      </w:r>
    </w:p>
    <w:p w:rsidR="00000000" w:rsidDel="00000000" w:rsidP="00000000" w:rsidRDefault="00000000" w:rsidRPr="00000000" w14:paraId="0000002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Los estatutos sociales vigentes del Club, inscritos en el Registro Mercantil de Las Palmas de Gran Canaria con fecha de emisión 19/03/2021, no contemplan la existencia, funciones ni competencias de los cargos anteriormente mencionados, limitándose a regular exclusivamente: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before="24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 Junta General de Accionistas.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before="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El Consejo de Administración.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Las competencias reservadas a dichos órganos sociales.</w:t>
        <w:br w:type="textWrapping"/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2700" cy="19685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45640" y="377046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2700" cy="1968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6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Incompatibilidad estatutaria</w:t>
      </w:r>
    </w:p>
    <w:p w:rsidR="00000000" w:rsidDel="00000000" w:rsidP="00000000" w:rsidRDefault="00000000" w:rsidRPr="00000000" w14:paraId="0000003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En consecuencia: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before="24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Ninguno de los cargos indicados es compatible con las funciones propias del Consejo de Administración, salvo acuerdo expreso y formalmente adoptado por dicho órgano.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240" w:before="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Tampoco ostentan poder de representación legal ni capacidad decisoria vinculante en nombre de la sociedad, salvo en los casos en que hayan recibido delegación expresa del Consejo, conforme a lo establecido en los estatutos y en la Ley de Sociedades de Capital.</w:t>
        <w:br w:type="textWrapping"/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2700" cy="19685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45640" y="377046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2700" cy="19685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6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Naturaleza funcional y dependencias</w:t>
      </w:r>
    </w:p>
    <w:p w:rsidR="00000000" w:rsidDel="00000000" w:rsidP="00000000" w:rsidRDefault="00000000" w:rsidRPr="00000000" w14:paraId="0000003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Las funciones y atribuciones de los cargos indicados: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before="24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 rigen por reglamentos internos, directrices del Consejo de Administración o instrucciones directas de la Presidencia.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240" w:before="0" w:line="240" w:lineRule="auto"/>
        <w:ind w:left="720" w:right="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 generan por sí mismas derechos o deberes de naturaleza societaria ni facultades estatutarias.</w:t>
        <w:br w:type="textWrapping"/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actualización: 06/04/2026</w:t>
      </w:r>
    </w:p>
    <w:sectPr>
      <w:headerReference r:id="rId7" w:type="default"/>
      <w:pgSz w:h="16838" w:w="11906" w:orient="portrait"/>
      <w:pgMar w:bottom="1417" w:top="2268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spacing w:after="0" w:before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-1066164</wp:posOffset>
          </wp:positionH>
          <wp:positionV relativeFrom="paragraph">
            <wp:posOffset>-435608</wp:posOffset>
          </wp:positionV>
          <wp:extent cx="7524750" cy="10643235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0643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