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Bdr>
          <w:bottom w:color="002857" w:space="0" w:sz="8" w:val="single"/>
        </w:pBdr>
        <w:shd w:fill="ebebeb" w:val="clear"/>
        <w:spacing w:after="240" w:before="280" w:line="302" w:lineRule="auto"/>
        <w:rPr>
          <w:rFonts w:ascii="Arial" w:cs="Arial" w:eastAsia="Arial" w:hAnsi="Arial"/>
          <w:color w:val="0f325e"/>
          <w:sz w:val="45"/>
          <w:szCs w:val="45"/>
        </w:rPr>
      </w:pPr>
      <w:bookmarkStart w:colFirst="0" w:colLast="0" w:name="_yjoky4c9ysbt" w:id="0"/>
      <w:bookmarkEnd w:id="0"/>
      <w:r w:rsidDel="00000000" w:rsidR="00000000" w:rsidRPr="00000000">
        <w:rPr>
          <w:rFonts w:ascii="Arial" w:cs="Arial" w:eastAsia="Arial" w:hAnsi="Arial"/>
          <w:color w:val="0f325e"/>
          <w:sz w:val="45"/>
          <w:szCs w:val="45"/>
          <w:rtl w:val="0"/>
        </w:rPr>
        <w:t xml:space="preserve">DERECHO DE ACCESO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before="0" w:line="384" w:lineRule="auto"/>
        <w:ind w:left="720" w:right="0" w:hanging="360"/>
        <w:rPr/>
      </w:pPr>
      <w:r w:rsidDel="00000000" w:rsidR="00000000" w:rsidRPr="00000000">
        <w:rPr>
          <w:rFonts w:ascii="Arial" w:cs="Arial" w:eastAsia="Arial" w:hAnsi="Arial"/>
          <w:color w:val="58595b"/>
          <w:sz w:val="23"/>
          <w:szCs w:val="23"/>
          <w:rtl w:val="0"/>
        </w:rPr>
        <w:t xml:space="preserve">Fecha de actualización: 06/04/2026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="384" w:lineRule="auto"/>
        <w:ind w:left="720" w:right="0" w:hanging="360"/>
        <w:rPr/>
      </w:pPr>
      <w:r w:rsidDel="00000000" w:rsidR="00000000" w:rsidRPr="00000000">
        <w:rPr>
          <w:rFonts w:ascii="Arial" w:cs="Arial" w:eastAsia="Arial" w:hAnsi="Arial"/>
          <w:color w:val="58595b"/>
          <w:sz w:val="23"/>
          <w:szCs w:val="23"/>
          <w:rtl w:val="0"/>
        </w:rPr>
        <w:t xml:space="preserve">Periodicidad: cada vez que se actualice un apartado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600" w:before="0" w:line="384" w:lineRule="auto"/>
        <w:ind w:left="720" w:right="0" w:hanging="360"/>
        <w:rPr/>
      </w:pPr>
      <w:r w:rsidDel="00000000" w:rsidR="00000000" w:rsidRPr="00000000">
        <w:rPr>
          <w:rFonts w:ascii="Arial" w:cs="Arial" w:eastAsia="Arial" w:hAnsi="Arial"/>
          <w:color w:val="58595b"/>
          <w:sz w:val="23"/>
          <w:szCs w:val="23"/>
          <w:rtl w:val="0"/>
        </w:rPr>
        <w:t xml:space="preserve">Toda la información de este apartado en formato reutilizable: ODT / PDF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860" cy="2984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39700" y="3770100"/>
                          <a:ext cx="1260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860" cy="2984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298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xdxs2p9hqg06" w:id="1"/>
      <w:bookmarkEnd w:id="1"/>
      <w:r w:rsidDel="00000000" w:rsidR="00000000" w:rsidRPr="00000000">
        <w:rPr>
          <w:sz w:val="26"/>
          <w:szCs w:val="26"/>
          <w:rtl w:val="0"/>
        </w:rPr>
        <w:t xml:space="preserve">1198 ÓRGANOS COMPETENTE EN MATERIA DE DERECHOS DE ACCESO </w:t>
      </w:r>
    </w:p>
    <w:p w:rsidR="00000000" w:rsidDel="00000000" w:rsidP="00000000" w:rsidRDefault="00000000" w:rsidRPr="00000000" w14:paraId="0000000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Anualidad 2020:</w:t>
        <w:br w:type="textWrapping"/>
        <w:t xml:space="preserve">El órgano competente en materia de derecho de acceso es el Director General del Gran Canaria CB.</w:t>
      </w:r>
    </w:p>
    <w:p w:rsidR="00000000" w:rsidDel="00000000" w:rsidP="00000000" w:rsidRDefault="00000000" w:rsidRPr="00000000" w14:paraId="00000009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Anualidad 2021:</w:t>
        <w:br w:type="textWrapping"/>
        <w:t xml:space="preserve">El órgano competente en materia de derecho de acceso es el Director General del Gran Canaria CB.</w:t>
      </w:r>
    </w:p>
    <w:p w:rsidR="00000000" w:rsidDel="00000000" w:rsidP="00000000" w:rsidRDefault="00000000" w:rsidRPr="00000000" w14:paraId="0000000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Anualidad 2022:</w:t>
        <w:br w:type="textWrapping"/>
        <w:t xml:space="preserve">El órgano competente en materia de derecho de acceso es el Director General del Gran Canaria CB.</w:t>
      </w:r>
    </w:p>
    <w:p w:rsidR="00000000" w:rsidDel="00000000" w:rsidP="00000000" w:rsidRDefault="00000000" w:rsidRPr="00000000" w14:paraId="0000000B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Anualidad 2023:</w:t>
        <w:br w:type="textWrapping"/>
        <w:t xml:space="preserve">El órgano competente en materia de derecho de acceso es el Director General del Gran Canaria CB.</w:t>
      </w:r>
    </w:p>
    <w:p w:rsidR="00000000" w:rsidDel="00000000" w:rsidP="00000000" w:rsidRDefault="00000000" w:rsidRPr="00000000" w14:paraId="0000000C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Anualidad 2024:</w:t>
        <w:br w:type="textWrapping"/>
        <w:t xml:space="preserve">El órgano competente en materia de derecho de acceso es el Director General del Gran Canaria CB.</w:t>
      </w:r>
    </w:p>
    <w:p w:rsidR="00000000" w:rsidDel="00000000" w:rsidP="00000000" w:rsidRDefault="00000000" w:rsidRPr="00000000" w14:paraId="0000000D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Anualidad 2025:</w:t>
      </w:r>
    </w:p>
    <w:p w:rsidR="00000000" w:rsidDel="00000000" w:rsidP="00000000" w:rsidRDefault="00000000" w:rsidRPr="00000000" w14:paraId="0000000E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El órgano competente en materia de derecho de acceso es el Director General del Gran Canaria CB.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xx3zhv4hy5gh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cq7z1ap38phd" w:id="3"/>
      <w:bookmarkEnd w:id="3"/>
      <w:r w:rsidDel="00000000" w:rsidR="00000000" w:rsidRPr="00000000">
        <w:rPr>
          <w:sz w:val="26"/>
          <w:szCs w:val="26"/>
          <w:rtl w:val="0"/>
        </w:rPr>
        <w:t xml:space="preserve">1199 RESOLUCIONES DENEGATORIAS </w:t>
      </w:r>
    </w:p>
    <w:p w:rsidR="00000000" w:rsidDel="00000000" w:rsidP="00000000" w:rsidRDefault="00000000" w:rsidRPr="00000000" w14:paraId="0000001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Anualidad 2020:</w:t>
        <w:br w:type="textWrapping"/>
        <w:t xml:space="preserve">El Club de Baloncesto Gran Canaria no ha dictado ninguna resolución mediante la cual se deniegue una solicitud de acceso a información pública</w:t>
      </w:r>
    </w:p>
    <w:p w:rsidR="00000000" w:rsidDel="00000000" w:rsidP="00000000" w:rsidRDefault="00000000" w:rsidRPr="00000000" w14:paraId="0000001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Anualidad 2021:</w:t>
        <w:br w:type="textWrapping"/>
        <w:t xml:space="preserve">El Club de Baloncesto Gran Canaria no ha dictado ninguna resolución mediante la cual se deniegue una solicitud de acceso a información pública</w:t>
      </w:r>
    </w:p>
    <w:p w:rsidR="00000000" w:rsidDel="00000000" w:rsidP="00000000" w:rsidRDefault="00000000" w:rsidRPr="00000000" w14:paraId="0000001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Anualidad 2022:</w:t>
        <w:br w:type="textWrapping"/>
        <w:t xml:space="preserve">El Club de Baloncesto Gran Canaria no ha dictado ninguna resolución mediante la cual se deniegue una solicitud de acceso a información pública</w:t>
      </w:r>
    </w:p>
    <w:p w:rsidR="00000000" w:rsidDel="00000000" w:rsidP="00000000" w:rsidRDefault="00000000" w:rsidRPr="00000000" w14:paraId="0000001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Anualidad 2023:</w:t>
        <w:br w:type="textWrapping"/>
        <w:t xml:space="preserve">El Club de Baloncesto Gran Canaria no ha dictado ninguna resolución mediante la cual se deniegue una solicitud de acceso a información pública</w:t>
      </w:r>
    </w:p>
    <w:p w:rsidR="00000000" w:rsidDel="00000000" w:rsidP="00000000" w:rsidRDefault="00000000" w:rsidRPr="00000000" w14:paraId="0000001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Anualidad 2024:</w:t>
        <w:br w:type="textWrapping"/>
        <w:t xml:space="preserve">El Club de Baloncesto Gran Canaria no ha dictado ninguna resolución mediante la cual se deniegue una solicitud de acceso a información pública</w:t>
      </w:r>
    </w:p>
    <w:p w:rsidR="00000000" w:rsidDel="00000000" w:rsidP="00000000" w:rsidRDefault="00000000" w:rsidRPr="00000000" w14:paraId="0000001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Anualidad 2025:</w:t>
      </w:r>
    </w:p>
    <w:p w:rsidR="00000000" w:rsidDel="00000000" w:rsidP="00000000" w:rsidRDefault="00000000" w:rsidRPr="00000000" w14:paraId="00000017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El Club de Baloncesto Gran Canaria no ha dictado ninguna resolución mediante la cual se deniegue una solicitud de acceso a información pública</w:t>
      </w:r>
    </w:p>
    <w:p w:rsidR="00000000" w:rsidDel="00000000" w:rsidP="00000000" w:rsidRDefault="00000000" w:rsidRPr="00000000" w14:paraId="00000018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yrte7h1fisco" w:id="4"/>
      <w:bookmarkEnd w:id="4"/>
      <w:r w:rsidDel="00000000" w:rsidR="00000000" w:rsidRPr="00000000">
        <w:rPr>
          <w:sz w:val="26"/>
          <w:szCs w:val="26"/>
          <w:rtl w:val="0"/>
        </w:rPr>
        <w:t xml:space="preserve">1201 ESTADÍSTICAS DE DERECHO DE ACCESO</w:t>
      </w:r>
    </w:p>
    <w:p w:rsidR="00000000" w:rsidDel="00000000" w:rsidP="00000000" w:rsidRDefault="00000000" w:rsidRPr="00000000" w14:paraId="0000001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Información estadística sobre las resoluciones de las solicitudes de derecho de acceso a la información pública.</w:t>
      </w:r>
    </w:p>
    <w:p w:rsidR="00000000" w:rsidDel="00000000" w:rsidP="00000000" w:rsidRDefault="00000000" w:rsidRPr="00000000" w14:paraId="0000001B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Número de solicitudes de acceso a la información pública de Gran Canaria CB:</w:t>
      </w:r>
    </w:p>
    <w:tbl>
      <w:tblPr>
        <w:tblStyle w:val="Table1"/>
        <w:tblW w:w="8711.511811023624" w:type="dxa"/>
        <w:jc w:val="left"/>
        <w:tblInd w:w="-208.0" w:type="dxa"/>
        <w:tblLayout w:type="fixed"/>
        <w:tblLook w:val="0000"/>
      </w:tblPr>
      <w:tblGrid>
        <w:gridCol w:w="2504.010520555135"/>
        <w:gridCol w:w="880.5101830479917"/>
        <w:gridCol w:w="592.1001230908404"/>
        <w:gridCol w:w="592.1001230908404"/>
        <w:gridCol w:w="591.1451228923069"/>
        <w:gridCol w:w="592.1001230908404"/>
        <w:gridCol w:w="591.1451228923069"/>
        <w:gridCol w:w="592.1001230908404"/>
        <w:gridCol w:w="592.1001230908404"/>
        <w:gridCol w:w="592.1001230908404"/>
        <w:gridCol w:w="592.1001230908404"/>
        <w:tblGridChange w:id="0">
          <w:tblGrid>
            <w:gridCol w:w="2504.010520555135"/>
            <w:gridCol w:w="880.5101830479917"/>
            <w:gridCol w:w="592.1001230908404"/>
            <w:gridCol w:w="592.1001230908404"/>
            <w:gridCol w:w="591.1451228923069"/>
            <w:gridCol w:w="592.1001230908404"/>
            <w:gridCol w:w="591.1451228923069"/>
            <w:gridCol w:w="592.1001230908404"/>
            <w:gridCol w:w="592.1001230908404"/>
            <w:gridCol w:w="592.1001230908404"/>
            <w:gridCol w:w="592.1001230908404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2017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2018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2019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2020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2022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2023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2024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2025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Solicitudes RECIBIDAS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Institucional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Organizativa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Personal de libre nombramiento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Empleo en el sector público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Retribuciones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Servicios y procedimientos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Económico-financiera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Contratos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Convenios y encomiendas de gestión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Concesión de servicios públicos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Ayudas y subvenciones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Estadística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Derecho de acceso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Solicitudes RESUELTAS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Institucional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Organizativa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Personal de libre nombramiento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Empleo en el sector público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Retribuciones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Servicios y procedimientos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Económico-financiera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Contratos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Convenios y encomiendas de gestión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Concesión de servicios públicos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Ayudas y subvenciones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Estadística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Derecho de acceso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B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Solicitudes NO ADMITIDAS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C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D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E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F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0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1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Institucional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Organizativa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Personal de libre nombramiento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Empleo en el sector público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Retribuciones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Servicios y procedimientos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Económico-financiera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B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Contratos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B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Convenios y encomiendas de gestión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C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Concesión de servicios públicos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D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Ayudas y subvenciones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D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Estadística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E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Derecho de acceso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F5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Solicitudes DESESTIMADAS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6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7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9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A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B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Institucional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Organizativa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1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Personal de libre nombramiento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2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Empleo en el sector público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2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Retribuciones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3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Servicios y procedimientos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4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Económico-financiera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4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Contratos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5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Convenios y encomiendas de gestión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6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Concesión de servicios públicos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6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Ayudas y subvenciones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7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Estadística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Derecho de acceso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F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Solicitudes PENDIENTES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0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1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2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3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4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5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Institucional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A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Organizativa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B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Personal de libre nombramiento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B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Empleo en el sector público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C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Retribuciones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D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Servicios y procedimientos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D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Económico-financiera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E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Contratos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F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Convenios y encomiendas de gestión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F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Concesión de servicios públicos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0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Ayudas y subvenciones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1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Estadística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1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Derecho de acceso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329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En este apartado se muestran datos estadísticos sobre la resolución de Infecar sobre  las solicitudes de acceso a su información pública:</w:t>
      </w:r>
    </w:p>
    <w:p w:rsidR="00000000" w:rsidDel="00000000" w:rsidP="00000000" w:rsidRDefault="00000000" w:rsidRPr="00000000" w14:paraId="0000032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Anualidad 2021: Actualmente no se ha recibido ninguna solicitud de acceso a la información pública.</w:t>
      </w:r>
    </w:p>
    <w:p w:rsidR="00000000" w:rsidDel="00000000" w:rsidP="00000000" w:rsidRDefault="00000000" w:rsidRPr="00000000" w14:paraId="0000032B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Anualidad 2022: Actualmente no se ha recibido ninguna solicitud de acceso a la información pública.</w:t>
      </w:r>
    </w:p>
    <w:p w:rsidR="00000000" w:rsidDel="00000000" w:rsidP="00000000" w:rsidRDefault="00000000" w:rsidRPr="00000000" w14:paraId="0000032C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Anualidad 2023: Actualmente no se ha recibido ninguna solicitud de acceso a la información pública.</w:t>
      </w:r>
    </w:p>
    <w:p w:rsidR="00000000" w:rsidDel="00000000" w:rsidP="00000000" w:rsidRDefault="00000000" w:rsidRPr="00000000" w14:paraId="0000032D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Anualidad 2024: Actualmente no se ha recibido ninguna solicitud de acceso a la información pública.</w:t>
      </w:r>
    </w:p>
    <w:p w:rsidR="00000000" w:rsidDel="00000000" w:rsidP="00000000" w:rsidRDefault="00000000" w:rsidRPr="00000000" w14:paraId="0000032E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Anualidad 2025:  Actualmente no se ha recibido ninguna solicitud de acceso a la información pública.</w:t>
      </w:r>
    </w:p>
    <w:p w:rsidR="00000000" w:rsidDel="00000000" w:rsidP="00000000" w:rsidRDefault="00000000" w:rsidRPr="00000000" w14:paraId="0000032F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ewj8h2ah7rxk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6qutcpb40fm7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jr0ljrt8q8tb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phnamh3n6ic2" w:id="8"/>
      <w:bookmarkEnd w:id="8"/>
      <w:r w:rsidDel="00000000" w:rsidR="00000000" w:rsidRPr="00000000">
        <w:rPr>
          <w:sz w:val="34"/>
          <w:szCs w:val="34"/>
          <w:rtl w:val="0"/>
        </w:rPr>
        <w:t xml:space="preserve">Procedimiento de solicitud de acceso a la información pública</w:t>
      </w:r>
    </w:p>
    <w:p w:rsidR="00000000" w:rsidDel="00000000" w:rsidP="00000000" w:rsidRDefault="00000000" w:rsidRPr="00000000" w14:paraId="0000033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Si desea realizar una petición con fines informativos el contacto es: informacion@cbgrancanaria.net</w:t>
      </w:r>
    </w:p>
    <w:p w:rsidR="00000000" w:rsidDel="00000000" w:rsidP="00000000" w:rsidRDefault="00000000" w:rsidRPr="00000000" w14:paraId="00000335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  <w:t xml:space="preserve">Fecha de actualización: 06/04/2026</w:t>
      </w:r>
    </w:p>
    <w:sectPr>
      <w:headerReference r:id="rId7" w:type="default"/>
      <w:pgSz w:h="16838" w:w="11906" w:orient="portrait"/>
      <w:pgMar w:bottom="1417" w:top="2268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4B">
    <w:pPr>
      <w:keepNext w:val="0"/>
      <w:keepLines w:val="0"/>
      <w:widowControl w:val="1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-1066164</wp:posOffset>
          </wp:positionH>
          <wp:positionV relativeFrom="paragraph">
            <wp:posOffset>-435608</wp:posOffset>
          </wp:positionV>
          <wp:extent cx="7524750" cy="10643235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0" cy="106432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Noto Sans Symbols" w:cs="Noto Sans Symbols" w:eastAsia="Noto Sans Symbols" w:hAnsi="Noto Sans Symbols"/>
        <w:color w:val="58595b"/>
        <w:sz w:val="23"/>
        <w:szCs w:val="23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widowControl w:val="0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