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keepNext w:val="0"/>
        <w:keepLines w:val="0"/>
        <w:pBdr>
          <w:bottom w:color="002857" w:space="0" w:sz="8" w:val="single"/>
        </w:pBdr>
        <w:shd w:fill="ebebeb" w:val="clear"/>
        <w:spacing w:after="240" w:before="280" w:line="302" w:lineRule="auto"/>
        <w:rPr>
          <w:rFonts w:ascii="Arial" w:cs="Arial" w:eastAsia="Arial" w:hAnsi="Arial"/>
          <w:color w:val="0f325e"/>
          <w:sz w:val="45"/>
          <w:szCs w:val="45"/>
        </w:rPr>
      </w:pPr>
      <w:bookmarkStart w:colFirst="0" w:colLast="0" w:name="_3psykcqexcxt" w:id="0"/>
      <w:bookmarkEnd w:id="0"/>
      <w:r w:rsidDel="00000000" w:rsidR="00000000" w:rsidRPr="00000000">
        <w:rPr>
          <w:rFonts w:ascii="Arial" w:cs="Arial" w:eastAsia="Arial" w:hAnsi="Arial"/>
          <w:color w:val="0f325e"/>
          <w:sz w:val="45"/>
          <w:szCs w:val="45"/>
          <w:rtl w:val="0"/>
        </w:rPr>
        <w:t xml:space="preserve">ACCESIBILIDAD</w:t>
      </w:r>
    </w:p>
    <w:p w:rsidR="00000000" w:rsidDel="00000000" w:rsidP="00000000" w:rsidRDefault="00000000" w:rsidRPr="00000000" w14:paraId="00000003">
      <w:pPr>
        <w:numPr>
          <w:ilvl w:val="0"/>
          <w:numId w:val="1"/>
        </w:numPr>
        <w:spacing w:after="0" w:before="240" w:line="240" w:lineRule="auto"/>
        <w:ind w:left="720" w:right="0" w:hanging="360"/>
        <w:rPr/>
      </w:pPr>
      <w:r w:rsidDel="00000000" w:rsidR="00000000" w:rsidRPr="00000000">
        <w:rPr>
          <w:rtl w:val="0"/>
        </w:rPr>
        <w:t xml:space="preserve">Fecha de actualización: 06/04/2026</w:t>
      </w:r>
    </w:p>
    <w:p w:rsidR="00000000" w:rsidDel="00000000" w:rsidP="00000000" w:rsidRDefault="00000000" w:rsidRPr="00000000" w14:paraId="00000004">
      <w:pPr>
        <w:numPr>
          <w:ilvl w:val="0"/>
          <w:numId w:val="1"/>
        </w:numPr>
        <w:spacing w:after="0" w:before="0" w:line="240" w:lineRule="auto"/>
        <w:ind w:left="720" w:right="0" w:hanging="360"/>
        <w:rPr/>
      </w:pPr>
      <w:r w:rsidDel="00000000" w:rsidR="00000000" w:rsidRPr="00000000">
        <w:rPr>
          <w:rtl w:val="0"/>
        </w:rPr>
        <w:t xml:space="preserve">Periodicidad: Cada vez que se actualice algún apartado</w:t>
      </w:r>
    </w:p>
    <w:p w:rsidR="00000000" w:rsidDel="00000000" w:rsidP="00000000" w:rsidRDefault="00000000" w:rsidRPr="00000000" w14:paraId="00000005">
      <w:pPr>
        <w:numPr>
          <w:ilvl w:val="0"/>
          <w:numId w:val="1"/>
        </w:numPr>
        <w:spacing w:after="240" w:before="0" w:line="240" w:lineRule="auto"/>
        <w:ind w:left="720" w:right="0" w:hanging="360"/>
        <w:rPr/>
      </w:pPr>
      <w:r w:rsidDel="00000000" w:rsidR="00000000" w:rsidRPr="00000000">
        <w:rPr>
          <w:rtl w:val="0"/>
        </w:rPr>
        <w:t xml:space="preserve">Toda la información de este apartado en formato reutilizable: ODT / PDF</w:t>
      </w:r>
    </w:p>
    <w:p w:rsidR="00000000" w:rsidDel="00000000" w:rsidP="00000000" w:rsidRDefault="00000000" w:rsidRPr="00000000" w14:paraId="00000006">
      <w:pPr>
        <w:spacing w:after="240" w:before="240" w:line="240" w:lineRule="auto"/>
        <w:rPr/>
      </w:pPr>
      <w:r w:rsidDel="00000000" w:rsidR="00000000" w:rsidRPr="00000000">
        <w:rPr/>
        <mc:AlternateContent>
          <mc:Choice Requires="wpg">
            <w:drawing>
              <wp:inline distB="152400" distT="0" distL="114300" distR="114300">
                <wp:extent cx="12700" cy="19685"/>
                <wp:effectExtent b="0" l="0" r="0" t="0"/>
                <wp:docPr id="1" name=""/>
                <a:graphic>
                  <a:graphicData uri="http://schemas.microsoft.com/office/word/2010/wordprocessingShape">
                    <wps:wsp>
                      <wps:cNvSpPr/>
                      <wps:cNvPr id="2" name="Shape 2"/>
                      <wps:spPr>
                        <a:xfrm>
                          <a:off x="5345640" y="3770460"/>
                          <a:ext cx="72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52400" distT="0" distL="114300" distR="114300">
                <wp:extent cx="12700" cy="19685"/>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2700" cy="19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7">
      <w:pPr>
        <w:pBdr>
          <w:bottom w:color="0032db" w:space="4" w:sz="4" w:val="single"/>
        </w:pBdr>
        <w:spacing w:before="320" w:line="240" w:lineRule="auto"/>
        <w:rPr>
          <w:rFonts w:ascii="Times New Roman" w:cs="Times New Roman" w:eastAsia="Times New Roman" w:hAnsi="Times New Roman"/>
          <w:color w:val="0f325e"/>
          <w:sz w:val="20"/>
          <w:szCs w:val="20"/>
        </w:rPr>
      </w:pPr>
      <w:r w:rsidDel="00000000" w:rsidR="00000000" w:rsidRPr="00000000">
        <w:rPr>
          <w:rFonts w:ascii="Arial" w:cs="Arial" w:eastAsia="Arial" w:hAnsi="Arial"/>
          <w:b w:val="1"/>
          <w:bCs w:val="1"/>
          <w:color w:val="0f325e"/>
          <w:sz w:val="28"/>
          <w:szCs w:val="28"/>
          <w:rtl w:val="0"/>
        </w:rPr>
        <w:t xml:space="preserve">DECLARACIÓN DE ACCESIBILIDAD</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4"/>
        </w:numPr>
        <w:spacing w:after="240" w:before="0" w:line="240" w:lineRule="auto"/>
        <w:ind w:left="720" w:right="0" w:hanging="360"/>
        <w:rPr/>
      </w:pPr>
      <w:r w:rsidDel="00000000" w:rsidR="00000000" w:rsidRPr="00000000">
        <w:rPr>
          <w:rtl w:val="0"/>
        </w:rPr>
        <w:t xml:space="preserve">Se entiende por accesibilidad de los sitios web y aplicaciones para dispositivos móviles del sector público el conjunto de principios y técnicas que se deben respetar al diseñar, construir, mantener y actualizar los sitios web y aplicaciones móviles, con el fin de garantizar la igualdad y la no discriminación en el acceso de las personas usuarios, en particular de las personas con discapacidad y de las personas mayores.</w:t>
      </w:r>
    </w:p>
    <w:p w:rsidR="00000000" w:rsidDel="00000000" w:rsidP="00000000" w:rsidRDefault="00000000" w:rsidRPr="00000000" w14:paraId="0000000A">
      <w:pPr>
        <w:numPr>
          <w:ilvl w:val="0"/>
          <w:numId w:val="4"/>
        </w:numPr>
        <w:spacing w:after="240" w:before="0" w:line="240" w:lineRule="auto"/>
        <w:ind w:left="720" w:right="0" w:hanging="360"/>
        <w:rPr/>
      </w:pPr>
      <w:r w:rsidDel="00000000" w:rsidR="00000000" w:rsidRPr="00000000">
        <w:rPr>
          <w:rtl w:val="0"/>
        </w:rPr>
        <w:t xml:space="preserve">El Real Decreto 112/2018, de 7 de septiembre, sobre accesibilidad de los sitios web y aplicaciones para dispositivos móviles del sector público fija como requisitos mínimos:</w:t>
      </w:r>
    </w:p>
    <w:p w:rsidR="00000000" w:rsidDel="00000000" w:rsidP="00000000" w:rsidRDefault="00000000" w:rsidRPr="00000000" w14:paraId="0000000B">
      <w:pPr>
        <w:numPr>
          <w:ilvl w:val="0"/>
          <w:numId w:val="4"/>
        </w:numPr>
        <w:spacing w:after="240" w:before="0" w:line="240" w:lineRule="auto"/>
        <w:ind w:left="720" w:right="0" w:hanging="360"/>
        <w:rPr/>
      </w:pPr>
      <w:r w:rsidDel="00000000" w:rsidR="00000000" w:rsidRPr="00000000">
        <w:rPr>
          <w:rtl w:val="0"/>
        </w:rPr>
        <w:t xml:space="preserve">Los sitios web y aplicaciones para dispositivos móviles de las entidades obligadas incluidas en el ámbito de aplicación del presente real decreto deberán ser accesibles para sus personas usuarias y, en particular, para las personas mayores y personas con discapacidad, de modo que sus contenidos sean perceptibles, operables, comprensibles y robustos teniendo en cuenta las normas del artículo 6.</w:t>
      </w:r>
    </w:p>
    <w:p w:rsidR="00000000" w:rsidDel="00000000" w:rsidP="00000000" w:rsidRDefault="00000000" w:rsidRPr="00000000" w14:paraId="0000000C">
      <w:pPr>
        <w:numPr>
          <w:ilvl w:val="0"/>
          <w:numId w:val="4"/>
        </w:numPr>
        <w:spacing w:after="240" w:before="0" w:line="240" w:lineRule="auto"/>
        <w:ind w:left="720" w:right="0" w:hanging="360"/>
        <w:rPr/>
      </w:pPr>
      <w:r w:rsidDel="00000000" w:rsidR="00000000" w:rsidRPr="00000000">
        <w:rPr>
          <w:rtl w:val="0"/>
        </w:rPr>
        <w:t xml:space="preserve">La accesibilidad se tendrá presente de forma integral en el proceso de diseño, gestión, mantenimiento y actualización de contenidos de los sitios web y las aplicaciones para dispositivos móviles.</w:t>
      </w:r>
    </w:p>
    <w:p w:rsidR="00000000" w:rsidDel="00000000" w:rsidP="00000000" w:rsidRDefault="00000000" w:rsidRPr="00000000" w14:paraId="0000000D">
      <w:pPr>
        <w:numPr>
          <w:ilvl w:val="0"/>
          <w:numId w:val="4"/>
        </w:numPr>
        <w:spacing w:after="240" w:before="0" w:line="240" w:lineRule="auto"/>
        <w:ind w:left="720" w:right="0" w:hanging="360"/>
        <w:rPr/>
      </w:pPr>
      <w:r w:rsidDel="00000000" w:rsidR="00000000" w:rsidRPr="00000000">
        <w:rPr>
          <w:rtl w:val="0"/>
        </w:rPr>
        <w:t xml:space="preserve">Las entidades obligadas adoptarán, siempre que sea posible, medidas para aumentar la accesibilidad de sus sitios web y aplicaciones para dispositivos móviles respecto del nivel mínimo de accesibilidad que deba cumplirse en cada momento.</w:t>
      </w:r>
    </w:p>
    <w:p w:rsidR="00000000" w:rsidDel="00000000" w:rsidP="00000000" w:rsidRDefault="00000000" w:rsidRPr="00000000" w14:paraId="0000000E">
      <w:pPr>
        <w:pStyle w:val="Heading3"/>
        <w:keepNext w:val="0"/>
        <w:keepLines w:val="0"/>
        <w:rPr>
          <w:sz w:val="26"/>
          <w:szCs w:val="26"/>
        </w:rPr>
      </w:pPr>
      <w:bookmarkStart w:colFirst="0" w:colLast="0" w:name="_1nhpvzeua36e" w:id="1"/>
      <w:bookmarkEnd w:id="1"/>
      <w:r w:rsidDel="00000000" w:rsidR="00000000" w:rsidRPr="00000000">
        <w:rPr>
          <w:rtl w:val="0"/>
        </w:rPr>
      </w:r>
    </w:p>
    <w:p w:rsidR="00000000" w:rsidDel="00000000" w:rsidP="00000000" w:rsidRDefault="00000000" w:rsidRPr="00000000" w14:paraId="0000000F">
      <w:pPr>
        <w:pStyle w:val="Heading3"/>
        <w:keepNext w:val="0"/>
        <w:keepLines w:val="0"/>
        <w:rPr>
          <w:sz w:val="26"/>
          <w:szCs w:val="26"/>
        </w:rPr>
      </w:pPr>
      <w:bookmarkStart w:colFirst="0" w:colLast="0" w:name="_pdbjdvxmlqcd" w:id="2"/>
      <w:bookmarkEnd w:id="2"/>
      <w:r w:rsidDel="00000000" w:rsidR="00000000" w:rsidRPr="00000000">
        <w:rPr>
          <w:rtl w:val="0"/>
        </w:rPr>
      </w:r>
    </w:p>
    <w:p w:rsidR="00000000" w:rsidDel="00000000" w:rsidP="00000000" w:rsidRDefault="00000000" w:rsidRPr="00000000" w14:paraId="00000010">
      <w:pPr>
        <w:pBdr>
          <w:bottom w:color="0032db" w:space="4" w:sz="4" w:val="single"/>
        </w:pBdr>
        <w:spacing w:before="320" w:line="240" w:lineRule="auto"/>
        <w:rPr>
          <w:rFonts w:ascii="Times New Roman" w:cs="Times New Roman" w:eastAsia="Times New Roman" w:hAnsi="Times New Roman"/>
          <w:color w:val="0f325e"/>
          <w:sz w:val="20"/>
          <w:szCs w:val="20"/>
        </w:rPr>
      </w:pPr>
      <w:r w:rsidDel="00000000" w:rsidR="00000000" w:rsidRPr="00000000">
        <w:rPr>
          <w:rFonts w:ascii="Arial" w:cs="Arial" w:eastAsia="Arial" w:hAnsi="Arial"/>
          <w:b w:val="1"/>
          <w:bCs w:val="1"/>
          <w:color w:val="0f325e"/>
          <w:sz w:val="28"/>
          <w:szCs w:val="28"/>
          <w:rtl w:val="0"/>
        </w:rPr>
        <w:t xml:space="preserve">COMPROMISO DEL CLUB BALONCESTO DE GRAN CANARIA CON LA ACCESIBILIDAD</w:t>
      </w:r>
      <w:r w:rsidDel="00000000" w:rsidR="00000000" w:rsidRPr="00000000">
        <w:rPr>
          <w:rtl w:val="0"/>
        </w:rPr>
      </w:r>
    </w:p>
    <w:p w:rsidR="00000000" w:rsidDel="00000000" w:rsidP="00000000" w:rsidRDefault="00000000" w:rsidRPr="00000000" w14:paraId="00000011">
      <w:pPr>
        <w:pStyle w:val="Heading3"/>
        <w:keepNext w:val="0"/>
        <w:keepLines w:val="0"/>
        <w:rPr>
          <w:sz w:val="26"/>
          <w:szCs w:val="26"/>
        </w:rPr>
      </w:pPr>
      <w:bookmarkStart w:colFirst="0" w:colLast="0" w:name="_y0y4cup320py" w:id="3"/>
      <w:bookmarkEnd w:id="3"/>
      <w:r w:rsidDel="00000000" w:rsidR="00000000" w:rsidRPr="00000000">
        <w:rPr>
          <w:rtl w:val="0"/>
        </w:rPr>
      </w:r>
    </w:p>
    <w:p w:rsidR="00000000" w:rsidDel="00000000" w:rsidP="00000000" w:rsidRDefault="00000000" w:rsidRPr="00000000" w14:paraId="00000012">
      <w:pPr>
        <w:spacing w:after="240" w:before="240" w:line="240" w:lineRule="auto"/>
        <w:rPr/>
      </w:pPr>
      <w:r w:rsidDel="00000000" w:rsidR="00000000" w:rsidRPr="00000000">
        <w:rPr>
          <w:rtl w:val="0"/>
        </w:rPr>
        <w:t xml:space="preserve">En el Club Baloncesto Gran Canaria mantenemos un fuerte compromiso para alcanzar una completa integración de todos los usuarios de la entidad y sociedad en general.</w:t>
      </w:r>
    </w:p>
    <w:p w:rsidR="00000000" w:rsidDel="00000000" w:rsidP="00000000" w:rsidRDefault="00000000" w:rsidRPr="00000000" w14:paraId="00000013">
      <w:pPr>
        <w:spacing w:after="240" w:before="240" w:line="240" w:lineRule="auto"/>
        <w:rPr/>
      </w:pPr>
      <w:r w:rsidDel="00000000" w:rsidR="00000000" w:rsidRPr="00000000">
        <w:rPr>
          <w:rtl w:val="0"/>
        </w:rPr>
        <w:t xml:space="preserve">Las comunicaciones sobre requisitos de accesibilidad podrán presentarse mediante los siguientes medios:</w:t>
      </w:r>
    </w:p>
    <w:p w:rsidR="00000000" w:rsidDel="00000000" w:rsidP="00000000" w:rsidRDefault="00000000" w:rsidRPr="00000000" w14:paraId="00000014">
      <w:pPr>
        <w:numPr>
          <w:ilvl w:val="0"/>
          <w:numId w:val="3"/>
        </w:numPr>
        <w:spacing w:after="0" w:before="240" w:line="240" w:lineRule="auto"/>
        <w:ind w:left="720" w:right="0" w:hanging="360"/>
        <w:rPr/>
      </w:pPr>
      <w:r w:rsidDel="00000000" w:rsidR="00000000" w:rsidRPr="00000000">
        <w:rPr>
          <w:rtl w:val="0"/>
        </w:rPr>
        <w:t xml:space="preserve">email: informacion@cbgrancanaria.net</w:t>
      </w:r>
    </w:p>
    <w:p w:rsidR="00000000" w:rsidDel="00000000" w:rsidP="00000000" w:rsidRDefault="00000000" w:rsidRPr="00000000" w14:paraId="00000015">
      <w:pPr>
        <w:numPr>
          <w:ilvl w:val="0"/>
          <w:numId w:val="3"/>
        </w:numPr>
        <w:spacing w:after="240" w:before="0" w:line="240" w:lineRule="auto"/>
        <w:ind w:left="720" w:right="0" w:hanging="360"/>
        <w:rPr/>
      </w:pPr>
      <w:r w:rsidDel="00000000" w:rsidR="00000000" w:rsidRPr="00000000">
        <w:rPr>
          <w:rtl w:val="0"/>
        </w:rPr>
        <w:t xml:space="preserve">Telefono: 928 332 072</w:t>
      </w:r>
    </w:p>
    <w:p w:rsidR="00000000" w:rsidDel="00000000" w:rsidP="00000000" w:rsidRDefault="00000000" w:rsidRPr="00000000" w14:paraId="00000016">
      <w:pPr>
        <w:spacing w:after="240" w:before="240" w:line="240" w:lineRule="auto"/>
        <w:rPr/>
      </w:pPr>
      <w:r w:rsidDel="00000000" w:rsidR="00000000" w:rsidRPr="00000000">
        <w:rPr>
          <w:rtl w:val="0"/>
        </w:rPr>
        <w:t xml:space="preserve">La respuesta será emitida por el Club Baloncesto de Gran Canaria  incluirá la siguiente información:</w:t>
      </w:r>
    </w:p>
    <w:p w:rsidR="00000000" w:rsidDel="00000000" w:rsidP="00000000" w:rsidRDefault="00000000" w:rsidRPr="00000000" w14:paraId="00000017">
      <w:pPr>
        <w:numPr>
          <w:ilvl w:val="0"/>
          <w:numId w:val="2"/>
        </w:numPr>
        <w:spacing w:after="0" w:before="240" w:line="240" w:lineRule="auto"/>
        <w:ind w:left="720" w:right="0" w:hanging="360"/>
        <w:rPr/>
      </w:pPr>
      <w:r w:rsidDel="00000000" w:rsidR="00000000" w:rsidRPr="00000000">
        <w:rPr>
          <w:rtl w:val="0"/>
        </w:rPr>
        <w:t xml:space="preserve">La Unidad que emite la respuesta.</w:t>
      </w:r>
    </w:p>
    <w:p w:rsidR="00000000" w:rsidDel="00000000" w:rsidP="00000000" w:rsidRDefault="00000000" w:rsidRPr="00000000" w14:paraId="00000018">
      <w:pPr>
        <w:numPr>
          <w:ilvl w:val="0"/>
          <w:numId w:val="2"/>
        </w:numPr>
        <w:spacing w:after="0" w:before="0" w:line="240" w:lineRule="auto"/>
        <w:ind w:left="720" w:right="0" w:hanging="360"/>
        <w:rPr/>
      </w:pPr>
      <w:r w:rsidDel="00000000" w:rsidR="00000000" w:rsidRPr="00000000">
        <w:rPr>
          <w:rtl w:val="0"/>
        </w:rPr>
        <w:t xml:space="preserve">La decisión que se ha adoptado.</w:t>
      </w:r>
    </w:p>
    <w:p w:rsidR="00000000" w:rsidDel="00000000" w:rsidP="00000000" w:rsidRDefault="00000000" w:rsidRPr="00000000" w14:paraId="00000019">
      <w:pPr>
        <w:numPr>
          <w:ilvl w:val="0"/>
          <w:numId w:val="2"/>
        </w:numPr>
        <w:spacing w:after="0" w:before="0" w:line="240" w:lineRule="auto"/>
        <w:ind w:left="720" w:right="0" w:hanging="360"/>
        <w:rPr/>
      </w:pPr>
      <w:r w:rsidDel="00000000" w:rsidR="00000000" w:rsidRPr="00000000">
        <w:rPr>
          <w:rtl w:val="0"/>
        </w:rPr>
        <w:t xml:space="preserve">En su caso, la información accesible solicitada.</w:t>
      </w:r>
    </w:p>
    <w:p w:rsidR="00000000" w:rsidDel="00000000" w:rsidP="00000000" w:rsidRDefault="00000000" w:rsidRPr="00000000" w14:paraId="0000001A">
      <w:pPr>
        <w:numPr>
          <w:ilvl w:val="0"/>
          <w:numId w:val="2"/>
        </w:numPr>
        <w:spacing w:after="0" w:before="0" w:line="240" w:lineRule="auto"/>
        <w:ind w:left="720" w:right="0" w:hanging="360"/>
        <w:rPr/>
      </w:pPr>
      <w:r w:rsidDel="00000000" w:rsidR="00000000" w:rsidRPr="00000000">
        <w:rPr>
          <w:rtl w:val="0"/>
        </w:rPr>
        <w:t xml:space="preserve">En su caso, el plazo estimativo y la Unidad responsable de llevar a cabo las medidas para corregir un posible incumplimiento, si las mismas no se pueden adoptar de inmediato.</w:t>
      </w:r>
    </w:p>
    <w:p w:rsidR="00000000" w:rsidDel="00000000" w:rsidP="00000000" w:rsidRDefault="00000000" w:rsidRPr="00000000" w14:paraId="0000001B">
      <w:pPr>
        <w:numPr>
          <w:ilvl w:val="0"/>
          <w:numId w:val="2"/>
        </w:numPr>
        <w:spacing w:after="240" w:before="0" w:line="240" w:lineRule="auto"/>
        <w:ind w:left="720" w:right="0" w:hanging="360"/>
        <w:rPr/>
      </w:pPr>
      <w:r w:rsidDel="00000000" w:rsidR="00000000" w:rsidRPr="00000000">
        <w:rPr>
          <w:rtl w:val="0"/>
        </w:rPr>
        <w:t xml:space="preserve">La Unidad ante la cual se puede reclamar y el procedimiento por el cual se puede hacer la reclamación.</w:t>
      </w:r>
    </w:p>
    <w:p w:rsidR="00000000" w:rsidDel="00000000" w:rsidP="00000000" w:rsidRDefault="00000000" w:rsidRPr="00000000" w14:paraId="0000001C">
      <w:pPr>
        <w:spacing w:after="240" w:before="0" w:line="240" w:lineRule="auto"/>
        <w:ind w:left="720" w:right="0" w:firstLine="0"/>
        <w:rPr/>
      </w:pPr>
      <w:r w:rsidDel="00000000" w:rsidR="00000000" w:rsidRPr="00000000">
        <w:rPr>
          <w:rtl w:val="0"/>
        </w:rPr>
      </w:r>
    </w:p>
    <w:p w:rsidR="00000000" w:rsidDel="00000000" w:rsidP="00000000" w:rsidRDefault="00000000" w:rsidRPr="00000000" w14:paraId="0000001D">
      <w:pPr>
        <w:pBdr>
          <w:bottom w:color="0032db" w:space="4" w:sz="4" w:val="single"/>
        </w:pBdr>
        <w:spacing w:before="320" w:line="240" w:lineRule="auto"/>
        <w:rPr>
          <w:b w:val="1"/>
          <w:bCs w:val="1"/>
          <w:color w:val="0f325e"/>
        </w:rPr>
      </w:pPr>
      <w:r w:rsidDel="00000000" w:rsidR="00000000" w:rsidRPr="00000000">
        <w:rPr>
          <w:rFonts w:ascii="Arial" w:cs="Arial" w:eastAsia="Arial" w:hAnsi="Arial"/>
          <w:b w:val="1"/>
          <w:bCs w:val="1"/>
          <w:color w:val="0f325e"/>
          <w:sz w:val="28"/>
          <w:szCs w:val="28"/>
          <w:rtl w:val="0"/>
        </w:rPr>
        <w:t xml:space="preserve">HISTORIAL DE DECLARACIONES DE ACCESIBILIDAD</w:t>
      </w:r>
      <w:r w:rsidDel="00000000" w:rsidR="00000000" w:rsidRPr="00000000">
        <w:rPr>
          <w:rtl w:val="0"/>
        </w:rPr>
      </w:r>
    </w:p>
    <w:p w:rsidR="00000000" w:rsidDel="00000000" w:rsidP="00000000" w:rsidRDefault="00000000" w:rsidRPr="00000000" w14:paraId="0000001E">
      <w:pPr>
        <w:spacing w:after="80" w:before="80" w:line="240" w:lineRule="auto"/>
        <w:rPr>
          <w:rFonts w:ascii="Arial" w:cs="Arial" w:eastAsia="Arial" w:hAnsi="Arial"/>
          <w:color w:val="434343"/>
          <w:sz w:val="20"/>
          <w:szCs w:val="20"/>
        </w:rPr>
      </w:pPr>
      <w:r w:rsidDel="00000000" w:rsidR="00000000" w:rsidRPr="00000000">
        <w:rPr>
          <w:rFonts w:ascii="Arial" w:cs="Arial" w:eastAsia="Arial" w:hAnsi="Arial"/>
          <w:color w:val="434343"/>
          <w:sz w:val="20"/>
          <w:szCs w:val="20"/>
          <w:rtl w:val="0"/>
        </w:rPr>
        <w:t xml:space="preserve">El Club Baloncesto Gran Canaria acredita la publicación continuada de su Declaración de Accesibilidad desde la entrada en vigor del Real Decreto 112/2018. A continuación se detalla el historial de publicaciones anuales:</w:t>
      </w:r>
    </w:p>
    <w:p w:rsidR="00000000" w:rsidDel="00000000" w:rsidP="00000000" w:rsidRDefault="00000000" w:rsidRPr="00000000" w14:paraId="0000001F">
      <w:pPr>
        <w:spacing w:after="80" w:before="80" w:line="240" w:lineRule="auto"/>
        <w:rPr>
          <w:rFonts w:ascii="Times New Roman" w:cs="Times New Roman" w:eastAsia="Times New Roman" w:hAnsi="Times New Roman"/>
          <w:sz w:val="20"/>
          <w:szCs w:val="20"/>
        </w:rPr>
      </w:pPr>
      <w:r w:rsidDel="00000000" w:rsidR="00000000" w:rsidRPr="00000000">
        <w:rPr>
          <w:rtl w:val="0"/>
        </w:rPr>
      </w:r>
    </w:p>
    <w:tbl>
      <w:tblPr>
        <w:tblStyle w:val="Table1"/>
        <w:tblW w:w="8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1800"/>
        <w:gridCol w:w="1400"/>
        <w:gridCol w:w="4560"/>
        <w:tblGridChange w:id="0">
          <w:tblGrid>
            <w:gridCol w:w="1200"/>
            <w:gridCol w:w="1800"/>
            <w:gridCol w:w="1400"/>
            <w:gridCol w:w="4560"/>
          </w:tblGrid>
        </w:tblGridChange>
      </w:tblGrid>
      <w:tr>
        <w:trPr>
          <w:cantSplit w:val="0"/>
          <w:tblHeader w:val="1"/>
        </w:trPr>
        <w:tc>
          <w:tcPr>
            <w:tcBorders>
              <w:top w:color="dddddd" w:space="0" w:sz="4" w:val="single"/>
              <w:left w:color="dddddd" w:space="0" w:sz="4" w:val="single"/>
              <w:bottom w:color="dddddd" w:space="0" w:sz="4" w:val="single"/>
              <w:right w:color="dddddd" w:space="0" w:sz="4" w:val="single"/>
            </w:tcBorders>
            <w:shd w:fill="0f325e" w:val="clear"/>
            <w:tcMar>
              <w:top w:w="100.0" w:type="dxa"/>
              <w:left w:w="120.0" w:type="dxa"/>
              <w:bottom w:w="100.0" w:type="dxa"/>
              <w:right w:w="120.0" w:type="dxa"/>
            </w:tcMar>
          </w:tcPr>
          <w:p w:rsidR="00000000" w:rsidDel="00000000" w:rsidP="00000000" w:rsidRDefault="00000000" w:rsidRPr="00000000" w14:paraId="00000020">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b w:val="1"/>
                <w:bCs w:val="1"/>
                <w:color w:val="ffffff"/>
                <w:sz w:val="18"/>
                <w:szCs w:val="18"/>
                <w:rtl w:val="0"/>
              </w:rPr>
              <w:t xml:space="preserve">Año</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0f325e" w:val="clear"/>
            <w:tcMar>
              <w:top w:w="100.0" w:type="dxa"/>
              <w:left w:w="120.0" w:type="dxa"/>
              <w:bottom w:w="100.0" w:type="dxa"/>
              <w:right w:w="120.0" w:type="dxa"/>
            </w:tcMar>
          </w:tcPr>
          <w:p w:rsidR="00000000" w:rsidDel="00000000" w:rsidP="00000000" w:rsidRDefault="00000000" w:rsidRPr="00000000" w14:paraId="00000021">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b w:val="1"/>
                <w:bCs w:val="1"/>
                <w:color w:val="ffffff"/>
                <w:sz w:val="18"/>
                <w:szCs w:val="18"/>
                <w:rtl w:val="0"/>
              </w:rPr>
              <w:t xml:space="preserve">Fecha publicación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0f325e" w:val="clear"/>
            <w:tcMar>
              <w:top w:w="100.0" w:type="dxa"/>
              <w:left w:w="120.0" w:type="dxa"/>
              <w:bottom w:w="100.0" w:type="dxa"/>
              <w:right w:w="120.0" w:type="dxa"/>
            </w:tcMar>
          </w:tcPr>
          <w:p w:rsidR="00000000" w:rsidDel="00000000" w:rsidP="00000000" w:rsidRDefault="00000000" w:rsidRPr="00000000" w14:paraId="00000022">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b w:val="1"/>
                <w:bCs w:val="1"/>
                <w:color w:val="ffffff"/>
                <w:sz w:val="18"/>
                <w:szCs w:val="18"/>
                <w:rtl w:val="0"/>
              </w:rPr>
              <w:t xml:space="preserve">Estado</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0f325e" w:val="clear"/>
            <w:tcMar>
              <w:top w:w="100.0" w:type="dxa"/>
              <w:left w:w="120.0" w:type="dxa"/>
              <w:bottom w:w="100.0" w:type="dxa"/>
              <w:right w:w="120.0" w:type="dxa"/>
            </w:tcMar>
          </w:tcPr>
          <w:p w:rsidR="00000000" w:rsidDel="00000000" w:rsidP="00000000" w:rsidRDefault="00000000" w:rsidRPr="00000000" w14:paraId="00000023">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b w:val="1"/>
                <w:bCs w:val="1"/>
                <w:color w:val="ffffff"/>
                <w:sz w:val="18"/>
                <w:szCs w:val="18"/>
                <w:rtl w:val="0"/>
              </w:rPr>
              <w:t xml:space="preserve">Observaciones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24">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2018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25">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23/09/2018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26">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Publicada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27">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Primera declaración de accesibilidad</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28">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2019</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29">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15/01/2019</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2A">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Publicada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2B">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Actualización anual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2C">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2020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2D">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10/01/2020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2E">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Publicada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2F">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Actualización anual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30">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2021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31">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08/01/2021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32">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Publicada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33">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Actualización anual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34">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2022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35">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07/01/2022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36">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Publicada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37">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Actualización anual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38">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2023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39">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09/01/2023</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3A">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Publicada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3B">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Actualización anual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3C">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2024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3D">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08/01/2024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3E">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Publicada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3F">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Actualización anual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40">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2025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41">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07/01/2025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42">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Publicada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0f4ff" w:val="clear"/>
            <w:tcMar>
              <w:top w:w="80.0" w:type="dxa"/>
              <w:left w:w="120.0" w:type="dxa"/>
              <w:bottom w:w="80.0" w:type="dxa"/>
              <w:right w:w="120.0" w:type="dxa"/>
            </w:tcMar>
          </w:tcPr>
          <w:p w:rsidR="00000000" w:rsidDel="00000000" w:rsidP="00000000" w:rsidRDefault="00000000" w:rsidRPr="00000000" w14:paraId="00000043">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Actualización anual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44">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b w:val="1"/>
                <w:bCs w:val="1"/>
                <w:color w:val="434343"/>
                <w:sz w:val="18"/>
                <w:szCs w:val="18"/>
                <w:rtl w:val="0"/>
              </w:rPr>
              <w:t xml:space="preserve">2026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45">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06/04/2026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46">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b w:val="1"/>
                <w:bCs w:val="1"/>
                <w:color w:val="007a3d"/>
                <w:sz w:val="18"/>
                <w:szCs w:val="18"/>
                <w:rtl w:val="0"/>
              </w:rPr>
              <w:t xml:space="preserve">Vigente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80.0" w:type="dxa"/>
              <w:left w:w="120.0" w:type="dxa"/>
              <w:bottom w:w="80.0" w:type="dxa"/>
              <w:right w:w="120.0" w:type="dxa"/>
            </w:tcMar>
          </w:tcPr>
          <w:p w:rsidR="00000000" w:rsidDel="00000000" w:rsidP="00000000" w:rsidRDefault="00000000" w:rsidRPr="00000000" w14:paraId="00000047">
            <w:pPr>
              <w:spacing w:after="0" w:line="240" w:lineRule="auto"/>
              <w:rPr>
                <w:rFonts w:ascii="Times New Roman" w:cs="Times New Roman" w:eastAsia="Times New Roman" w:hAnsi="Times New Roman"/>
                <w:sz w:val="20"/>
                <w:szCs w:val="20"/>
              </w:rPr>
            </w:pPr>
            <w:r w:rsidDel="00000000" w:rsidR="00000000" w:rsidRPr="00000000">
              <w:rPr>
                <w:rFonts w:ascii="Arial" w:cs="Arial" w:eastAsia="Arial" w:hAnsi="Arial"/>
                <w:color w:val="434343"/>
                <w:sz w:val="18"/>
                <w:szCs w:val="18"/>
                <w:rtl w:val="0"/>
              </w:rPr>
              <w:t xml:space="preserve">Declaración vigente — actualización en curso</w:t>
            </w:r>
            <w:r w:rsidDel="00000000" w:rsidR="00000000" w:rsidRPr="00000000">
              <w:rPr>
                <w:rtl w:val="0"/>
              </w:rPr>
            </w:r>
          </w:p>
        </w:tc>
      </w:tr>
    </w:tbl>
    <w:p w:rsidR="00000000" w:rsidDel="00000000" w:rsidP="00000000" w:rsidRDefault="00000000" w:rsidRPr="00000000" w14:paraId="00000048">
      <w:pPr>
        <w:spacing w:after="80" w:before="80" w:line="240" w:lineRule="auto"/>
        <w:rPr>
          <w:rFonts w:ascii="Arial" w:cs="Arial" w:eastAsia="Arial" w:hAnsi="Arial"/>
          <w:color w:val="434343"/>
          <w:sz w:val="20"/>
          <w:szCs w:val="20"/>
        </w:rPr>
      </w:pPr>
      <w:r w:rsidDel="00000000" w:rsidR="00000000" w:rsidRPr="00000000">
        <w:rPr>
          <w:rtl w:val="0"/>
        </w:rPr>
      </w:r>
    </w:p>
    <w:p w:rsidR="00000000" w:rsidDel="00000000" w:rsidP="00000000" w:rsidRDefault="00000000" w:rsidRPr="00000000" w14:paraId="00000049">
      <w:pPr>
        <w:shd w:fill="f0f4ff" w:val="clear"/>
        <w:spacing w:after="120" w:before="120" w:line="240" w:lineRule="auto"/>
        <w:rPr>
          <w:b w:val="1"/>
          <w:bCs w:val="1"/>
        </w:rPr>
      </w:pPr>
      <w:r w:rsidDel="00000000" w:rsidR="00000000" w:rsidRPr="00000000">
        <w:rPr>
          <w:rFonts w:ascii="Arial" w:cs="Arial" w:eastAsia="Arial" w:hAnsi="Arial"/>
          <w:b w:val="1"/>
          <w:bCs w:val="1"/>
          <w:color w:val="434343"/>
          <w:sz w:val="18"/>
          <w:szCs w:val="18"/>
          <w:rtl w:val="0"/>
        </w:rPr>
        <w:t xml:space="preserve">Nota: </w:t>
      </w:r>
      <w:r w:rsidDel="00000000" w:rsidR="00000000" w:rsidRPr="00000000">
        <w:rPr>
          <w:rFonts w:ascii="Arial" w:cs="Arial" w:eastAsia="Arial" w:hAnsi="Arial"/>
          <w:i w:val="1"/>
          <w:iCs w:val="1"/>
          <w:color w:val="434343"/>
          <w:sz w:val="18"/>
          <w:szCs w:val="18"/>
          <w:rtl w:val="0"/>
        </w:rPr>
        <w:t xml:space="preserve">La periodicidad de actualización es continua. La declaración se revisa y actualiza en cada ocasión en que se produzca una modificación relevante en los apartados del portal web del Club o en la normativa de referencia aplicable.</w:t>
      </w:r>
      <w:r w:rsidDel="00000000" w:rsidR="00000000" w:rsidRPr="00000000">
        <w:rPr>
          <w:rtl w:val="0"/>
        </w:rPr>
      </w:r>
    </w:p>
    <w:p w:rsidR="00000000" w:rsidDel="00000000" w:rsidP="00000000" w:rsidRDefault="00000000" w:rsidRPr="00000000" w14:paraId="0000004A">
      <w:pPr>
        <w:pBdr>
          <w:bottom w:color="0032db" w:space="4" w:sz="4" w:val="single"/>
        </w:pBdr>
        <w:spacing w:before="320" w:line="240" w:lineRule="auto"/>
        <w:rPr>
          <w:b w:val="1"/>
          <w:bCs w:val="1"/>
          <w:color w:val="0f325e"/>
        </w:rPr>
      </w:pPr>
      <w:r w:rsidDel="00000000" w:rsidR="00000000" w:rsidRPr="00000000">
        <w:rPr>
          <w:rFonts w:ascii="Arial" w:cs="Arial" w:eastAsia="Arial" w:hAnsi="Arial"/>
          <w:b w:val="1"/>
          <w:bCs w:val="1"/>
          <w:color w:val="0f325e"/>
          <w:sz w:val="28"/>
          <w:szCs w:val="28"/>
          <w:rtl w:val="0"/>
        </w:rPr>
        <w:t xml:space="preserve">ESTADO DE CUMPLIMIENTO ACTUAL — 2026</w:t>
      </w:r>
      <w:r w:rsidDel="00000000" w:rsidR="00000000" w:rsidRPr="00000000">
        <w:rPr>
          <w:rtl w:val="0"/>
        </w:rPr>
      </w:r>
    </w:p>
    <w:p w:rsidR="00000000" w:rsidDel="00000000" w:rsidP="00000000" w:rsidRDefault="00000000" w:rsidRPr="00000000" w14:paraId="0000004B">
      <w:pPr>
        <w:spacing w:after="240" w:before="240" w:line="240" w:lineRule="auto"/>
        <w:rPr/>
      </w:pPr>
      <w:r w:rsidDel="00000000" w:rsidR="00000000" w:rsidRPr="00000000">
        <w:rPr>
          <w:rtl w:val="0"/>
        </w:rPr>
        <w:t xml:space="preserve">La presente declaración corresponde al ejercicio 2026 y ha sido revisada con fecha 06/04/2026. El Club Baloncesto Gran Canaria se compromete a mantener actualizados los contenidos de esta declaración y a corregir cualquier incumplimiento detectado en el menor plazo posible.</w:t>
      </w:r>
    </w:p>
    <w:p w:rsidR="00000000" w:rsidDel="00000000" w:rsidP="00000000" w:rsidRDefault="00000000" w:rsidRPr="00000000" w14:paraId="0000004C">
      <w:pPr>
        <w:spacing w:after="240" w:before="240" w:line="240" w:lineRule="auto"/>
        <w:rPr>
          <w:b w:val="1"/>
          <w:bCs w:val="1"/>
        </w:rPr>
      </w:pPr>
      <w:r w:rsidDel="00000000" w:rsidR="00000000" w:rsidRPr="00000000">
        <w:rPr>
          <w:rtl w:val="0"/>
        </w:rPr>
      </w:r>
    </w:p>
    <w:p w:rsidR="00000000" w:rsidDel="00000000" w:rsidP="00000000" w:rsidRDefault="00000000" w:rsidRPr="00000000" w14:paraId="0000004D">
      <w:pPr>
        <w:spacing w:after="120" w:before="240" w:line="240" w:lineRule="auto"/>
        <w:rPr>
          <w:b w:val="1"/>
          <w:bCs w:val="1"/>
        </w:rPr>
      </w:pPr>
      <w:r w:rsidDel="00000000" w:rsidR="00000000" w:rsidRPr="00000000">
        <w:rPr>
          <w:rFonts w:ascii="Arial" w:cs="Arial" w:eastAsia="Arial" w:hAnsi="Arial"/>
          <w:b w:val="1"/>
          <w:bCs w:val="1"/>
          <w:color w:val="01114a"/>
          <w:sz w:val="24"/>
          <w:szCs w:val="24"/>
          <w:rtl w:val="0"/>
        </w:rPr>
        <w:t xml:space="preserve">Contenido accesible</w:t>
      </w:r>
      <w:r w:rsidDel="00000000" w:rsidR="00000000" w:rsidRPr="00000000">
        <w:rPr>
          <w:rtl w:val="0"/>
        </w:rPr>
      </w:r>
    </w:p>
    <w:p w:rsidR="00000000" w:rsidDel="00000000" w:rsidP="00000000" w:rsidRDefault="00000000" w:rsidRPr="00000000" w14:paraId="0000004E">
      <w:pPr>
        <w:spacing w:after="240" w:before="240" w:line="240" w:lineRule="auto"/>
        <w:rPr/>
      </w:pPr>
      <w:r w:rsidDel="00000000" w:rsidR="00000000" w:rsidRPr="00000000">
        <w:rPr>
          <w:rtl w:val="0"/>
        </w:rPr>
        <w:t xml:space="preserve">El sitio web del Club Baloncesto Gran Canaria cumple parcialmente con los requisitos del Real Decreto 112/2018 conforme al nivel AA de las WCAG 2.1. Las secciones principales del portal están adaptadas para ser perceptibles, operables, comprensibles y robustas.</w:t>
      </w:r>
    </w:p>
    <w:p w:rsidR="00000000" w:rsidDel="00000000" w:rsidP="00000000" w:rsidRDefault="00000000" w:rsidRPr="00000000" w14:paraId="0000004F">
      <w:pPr>
        <w:spacing w:after="240" w:before="240" w:line="240" w:lineRule="auto"/>
        <w:rPr>
          <w:b w:val="1"/>
          <w:bCs w:val="1"/>
        </w:rPr>
      </w:pPr>
      <w:r w:rsidDel="00000000" w:rsidR="00000000" w:rsidRPr="00000000">
        <w:rPr>
          <w:rtl w:val="0"/>
        </w:rPr>
      </w:r>
    </w:p>
    <w:p w:rsidR="00000000" w:rsidDel="00000000" w:rsidP="00000000" w:rsidRDefault="00000000" w:rsidRPr="00000000" w14:paraId="00000050">
      <w:pPr>
        <w:spacing w:after="120" w:before="240" w:line="240" w:lineRule="auto"/>
        <w:rPr>
          <w:b w:val="1"/>
          <w:bCs w:val="1"/>
        </w:rPr>
      </w:pPr>
      <w:r w:rsidDel="00000000" w:rsidR="00000000" w:rsidRPr="00000000">
        <w:rPr>
          <w:rFonts w:ascii="Arial" w:cs="Arial" w:eastAsia="Arial" w:hAnsi="Arial"/>
          <w:b w:val="1"/>
          <w:bCs w:val="1"/>
          <w:color w:val="01114a"/>
          <w:sz w:val="24"/>
          <w:szCs w:val="24"/>
          <w:rtl w:val="0"/>
        </w:rPr>
        <w:t xml:space="preserve">Contenido no accesible</w:t>
      </w:r>
      <w:r w:rsidDel="00000000" w:rsidR="00000000" w:rsidRPr="00000000">
        <w:rPr>
          <w:rtl w:val="0"/>
        </w:rPr>
      </w:r>
    </w:p>
    <w:p w:rsidR="00000000" w:rsidDel="00000000" w:rsidP="00000000" w:rsidRDefault="00000000" w:rsidRPr="00000000" w14:paraId="00000051">
      <w:pPr>
        <w:spacing w:after="240" w:before="240" w:line="240" w:lineRule="auto"/>
        <w:rPr/>
      </w:pPr>
      <w:r w:rsidDel="00000000" w:rsidR="00000000" w:rsidRPr="00000000">
        <w:rPr>
          <w:rtl w:val="0"/>
        </w:rPr>
        <w:t xml:space="preserve">Existen contenidos que aún no cumplen plenamente con los criterios de accesibilidad, principalmente documentos en formato PDF publicados con anterioridad a la aplicación de la normativa, y algunos contenidos multimedia sin subtitulado. El Club trabaja de forma progresiva en la corrección de estas deficiencias.</w:t>
      </w:r>
    </w:p>
    <w:p w:rsidR="00000000" w:rsidDel="00000000" w:rsidP="00000000" w:rsidRDefault="00000000" w:rsidRPr="00000000" w14:paraId="00000052">
      <w:pPr>
        <w:spacing w:after="240" w:before="240" w:line="240" w:lineRule="auto"/>
        <w:rPr>
          <w:b w:val="1"/>
          <w:bCs w:val="1"/>
        </w:rPr>
      </w:pPr>
      <w:r w:rsidDel="00000000" w:rsidR="00000000" w:rsidRPr="00000000">
        <w:rPr>
          <w:rtl w:val="0"/>
        </w:rPr>
      </w:r>
    </w:p>
    <w:p w:rsidR="00000000" w:rsidDel="00000000" w:rsidP="00000000" w:rsidRDefault="00000000" w:rsidRPr="00000000" w14:paraId="00000053">
      <w:pPr>
        <w:spacing w:after="120" w:before="240" w:line="240" w:lineRule="auto"/>
        <w:rPr>
          <w:b w:val="1"/>
          <w:bCs w:val="1"/>
        </w:rPr>
      </w:pPr>
      <w:r w:rsidDel="00000000" w:rsidR="00000000" w:rsidRPr="00000000">
        <w:rPr>
          <w:rFonts w:ascii="Arial" w:cs="Arial" w:eastAsia="Arial" w:hAnsi="Arial"/>
          <w:b w:val="1"/>
          <w:bCs w:val="1"/>
          <w:color w:val="01114a"/>
          <w:sz w:val="24"/>
          <w:szCs w:val="24"/>
          <w:rtl w:val="0"/>
        </w:rPr>
        <w:t xml:space="preserve">Alternativas y contacto</w:t>
      </w:r>
      <w:r w:rsidDel="00000000" w:rsidR="00000000" w:rsidRPr="00000000">
        <w:rPr>
          <w:rtl w:val="0"/>
        </w:rPr>
      </w:r>
    </w:p>
    <w:p w:rsidR="00000000" w:rsidDel="00000000" w:rsidP="00000000" w:rsidRDefault="00000000" w:rsidRPr="00000000" w14:paraId="00000054">
      <w:pPr>
        <w:spacing w:after="240" w:before="240" w:line="240" w:lineRule="auto"/>
        <w:rPr/>
      </w:pPr>
      <w:r w:rsidDel="00000000" w:rsidR="00000000" w:rsidRPr="00000000">
        <w:rPr>
          <w:rtl w:val="0"/>
        </w:rPr>
        <w:t xml:space="preserve">Para solicitar información accesible o comunicar cualquier dificultad, los usuarios pueden dirigirse al correo electrónico informacion@cbgrancanaria.net o llamar al 928 332 072. El Club garantiza una respuesta en un plazo máximo de veinte (20) días hábiles.</w:t>
      </w:r>
    </w:p>
    <w:p w:rsidR="00000000" w:rsidDel="00000000" w:rsidP="00000000" w:rsidRDefault="00000000" w:rsidRPr="00000000" w14:paraId="00000055">
      <w:pPr>
        <w:spacing w:after="240" w:before="240" w:line="240" w:lineRule="auto"/>
        <w:rPr>
          <w:b w:val="1"/>
          <w:bCs w:val="1"/>
        </w:rPr>
      </w:pPr>
      <w:r w:rsidDel="00000000" w:rsidR="00000000" w:rsidRPr="00000000">
        <w:rPr>
          <w:rtl w:val="0"/>
        </w:rPr>
      </w:r>
    </w:p>
    <w:p w:rsidR="00000000" w:rsidDel="00000000" w:rsidP="00000000" w:rsidRDefault="00000000" w:rsidRPr="00000000" w14:paraId="00000056">
      <w:pPr>
        <w:widowControl w:val="1"/>
        <w:spacing w:after="160" w:before="0" w:line="259" w:lineRule="auto"/>
        <w:jc w:val="left"/>
        <w:rPr/>
      </w:pPr>
      <w:r w:rsidDel="00000000" w:rsidR="00000000" w:rsidRPr="00000000">
        <w:rPr>
          <w:rFonts w:ascii="Arial" w:cs="Arial" w:eastAsia="Arial" w:hAnsi="Arial"/>
          <w:color w:val="58595b"/>
          <w:sz w:val="23"/>
          <w:szCs w:val="23"/>
          <w:highlight w:val="white"/>
          <w:rtl w:val="0"/>
        </w:rPr>
        <w:t xml:space="preserve">A través del Comisionado de Transparencia se gestionan las reclamaciones sobre derecho de acceso a la información pública, </w:t>
      </w:r>
      <w:hyperlink r:id="rId7">
        <w:r w:rsidDel="00000000" w:rsidR="00000000" w:rsidRPr="00000000">
          <w:rPr>
            <w:rFonts w:ascii="Arial" w:cs="Arial" w:eastAsia="Arial" w:hAnsi="Arial"/>
            <w:color w:val="0052b3"/>
            <w:sz w:val="23"/>
            <w:szCs w:val="23"/>
            <w:highlight w:val="white"/>
            <w:rtl w:val="0"/>
          </w:rPr>
          <w:t xml:space="preserve">accede al procedimiento</w:t>
        </w:r>
      </w:hyperlink>
      <w:r w:rsidDel="00000000" w:rsidR="00000000" w:rsidRPr="00000000">
        <w:rPr>
          <w:rFonts w:ascii="Arial" w:cs="Arial" w:eastAsia="Arial" w:hAnsi="Arial"/>
          <w:color w:val="58595b"/>
          <w:sz w:val="23"/>
          <w:szCs w:val="23"/>
          <w:highlight w:val="white"/>
          <w:rtl w:val="0"/>
        </w:rPr>
        <w:t xml:space="preserve">.</w:t>
      </w:r>
      <w:r w:rsidDel="00000000" w:rsidR="00000000" w:rsidRPr="00000000">
        <w:rPr>
          <w:rtl w:val="0"/>
        </w:rPr>
      </w:r>
    </w:p>
    <w:sectPr>
      <w:headerReference r:id="rId8" w:type="default"/>
      <w:pgSz w:h="16838" w:w="11906" w:orient="portrait"/>
      <w:pgMar w:bottom="1417" w:top="2268" w:left="1701" w:right="1701"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1"/>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-1066164</wp:posOffset>
          </wp:positionH>
          <wp:positionV relativeFrom="paragraph">
            <wp:posOffset>-435608</wp:posOffset>
          </wp:positionV>
          <wp:extent cx="7524750" cy="10643235"/>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24750" cy="106432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transparenciacanarias.org/como-reclama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