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VIAJES, MANUTENCIÓN, ALOJAMIENTO Y ASISTENCIA A ÓRGANOS COLEGIADOS O SOCIALES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Anualidades 2020, 2021, 2022, 2023,  2024 y 2025: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 existen en la entidad indemnizaciones por razón de servicio de viajes, alojamiento y asistencia órganos colegiados o sociales. 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 abonan directamente a los proveedores los gastos de viaje, manutención y alojamiento con motivo de realización de gestiones relacionadas con las funciones desarrolladas en puesto de trabajo, no se abonan gastos en concepto de asistencia a órganos colegiados o sociales.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Nota: los importes reflejados en el cuadro anterior corresponden al presupuesto para el ejercicio económico comprendido entre el 1 de julio de 2024 a 31 de Diciembre de 2025</w:t>
      </w:r>
    </w:p>
    <w:p w:rsidR="00000000" w:rsidDel="00000000" w:rsidP="00000000" w:rsidRDefault="00000000" w:rsidRPr="00000000" w14:paraId="00000010">
      <w:pPr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2268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-1066164</wp:posOffset>
          </wp:positionH>
          <wp:positionV relativeFrom="paragraph">
            <wp:posOffset>-435608</wp:posOffset>
          </wp:positionV>
          <wp:extent cx="7524750" cy="1064323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0" cy="106432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widowControl w:val="0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