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INFORMACIÓN SOBRE LA CUANTÍA DE LA COMPENSACIÓN ECONÓMICA PREVISTA CON OCASIÓN DEL CESE EN EL CARGO PARA EL EJERCICIO ECONÓMICO COMPRENDIDO ENTRE EL 1 DE JULIO DE 2024 A 31 DE DICIEMBRE DE 2025</w:t>
      </w:r>
    </w:p>
    <w:p w:rsidR="00000000" w:rsidDel="00000000" w:rsidP="00000000" w:rsidRDefault="00000000" w:rsidRPr="00000000" w14:paraId="00000003">
      <w:pPr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left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No existen otras figuras como consorcios, sociedades mercantiles y funciones que participen mayoritariamente en los órganos de gobierno de la entidad. </w:t>
      </w:r>
    </w:p>
    <w:p w:rsidR="00000000" w:rsidDel="00000000" w:rsidP="00000000" w:rsidRDefault="00000000" w:rsidRPr="00000000" w14:paraId="00000006">
      <w:pPr>
        <w:jc w:val="left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left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La cuantía de la compensación económica por cese en el cargo dentro de una entidad como un club de baloncesto oficial no está regulada de forma fija o uniforme por una ley específica. En estos casos, la compensación depende de varios factores contractuales y legales. Ya sea por el salario pendiente de la temporada que ha firmado o bien, una cláusula pactada en el momento de la firma del contrato.</w:t>
      </w:r>
    </w:p>
    <w:p w:rsidR="00000000" w:rsidDel="00000000" w:rsidP="00000000" w:rsidRDefault="00000000" w:rsidRPr="00000000" w14:paraId="00000008">
      <w:pPr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Nota: los importes reflejados en el cuadro anterior corresponden al presupuesto para el ejercicio económico comprendido entre el 1 de julio de 2024 a 31 de Diciembre de 2025</w:t>
      </w:r>
    </w:p>
    <w:p w:rsidR="00000000" w:rsidDel="00000000" w:rsidP="00000000" w:rsidRDefault="00000000" w:rsidRPr="00000000" w14:paraId="0000000F">
      <w:pPr>
        <w:spacing w:after="160" w:before="0" w:line="259" w:lineRule="auto"/>
        <w:rPr/>
      </w:pPr>
      <w:r w:rsidDel="00000000" w:rsidR="00000000" w:rsidRPr="00000000">
        <w:rPr>
          <w:rtl w:val="0"/>
        </w:rPr>
      </w:r>
    </w:p>
    <w:sectPr>
      <w:headerReference r:id="rId6" w:type="default"/>
      <w:pgSz w:h="16838" w:w="11906" w:orient="portrait"/>
      <w:pgMar w:bottom="1417" w:top="2268" w:left="1701" w:right="1701" w:header="708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0">
    <w:pPr>
      <w:tabs>
        <w:tab w:val="center" w:leader="none" w:pos="4252"/>
        <w:tab w:val="right" w:leader="none" w:pos="8504"/>
      </w:tabs>
      <w:spacing w:after="0" w:before="0" w:line="240" w:lineRule="auto"/>
      <w:rPr>
        <w:color w:val="000000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-1066164</wp:posOffset>
          </wp:positionH>
          <wp:positionV relativeFrom="paragraph">
            <wp:posOffset>-435608</wp:posOffset>
          </wp:positionV>
          <wp:extent cx="7524750" cy="10643235"/>
          <wp:effectExtent b="0" l="0" r="0" t="0"/>
          <wp:wrapNone/>
          <wp:docPr id="1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524750" cy="10643235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s-ES_tradnl"/>
      </w:rPr>
    </w:rPrDefault>
    <w:pPrDefault>
      <w:pPr>
        <w:widowControl w:val="0"/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bCs w:val="0"/>
      <w:i w:val="1"/>
      <w:iCs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