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1108 - Gasto efectuado en concepto de patrocinio y campañas de publicidad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Rule="auto"/>
        <w:rPr>
          <w:rFonts w:ascii="Arial" w:cs="Arial" w:eastAsia="Arial" w:hAnsi="Arial"/>
          <w:b w:val="0"/>
          <w:bCs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rtl w:val="0"/>
        </w:rPr>
        <w:t xml:space="preserve">El Club Baloncesto Gran Canaria no ha efectuado gastos en concepto de patrocinio y campañas de publicidad institucional para ninguna de las anualidades desde el año 2019 hasta 202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Fecha de actualización: 09/04/2026</w:t>
      </w:r>
    </w:p>
    <w:sectPr>
      <w:headerReference r:id="rId7" w:type="default"/>
      <w:pgSz w:h="16838" w:w="11906" w:orient="portrait"/>
      <w:pgMar w:bottom="1440" w:top="1008" w:left="1440" w:right="1440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0" w:before="0" w:lineRule="auto"/>
      <w:rPr/>
    </w:pPr>
    <w:r w:rsidDel="00000000" w:rsidR="00000000" w:rsidRPr="00000000">
      <w:rPr/>
      <w:drawing>
        <wp:inline distB="0" distT="0" distL="0" distR="0">
          <wp:extent cx="6000750" cy="1409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0750" cy="140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bottom w:color="aaaaaa" w:space="0" w:sz="4" w:val="single"/>
      </w:pBdr>
      <w:spacing w:after="0" w:before="8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XTts4RidlJkUQg/3SCX27ZNsA==">CgMxLjA4AHIhMW90djduZ3c2c3dYM0RyT25ob2ZwNXk0Q1ZCSUxrQTEy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