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1107 - Gasto total efectuado en concepto de ayudas y subvenciones para actividades económicas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Rule="auto"/>
        <w:rPr>
          <w:rFonts w:ascii="Arial" w:cs="Arial" w:eastAsia="Arial" w:hAnsi="Arial"/>
          <w:b w:val="0"/>
          <w:bCs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El Club Baloncesto Gran Canaria no concede ayudas o subvenciones para actividades económicas, por lo que no existe información relacionada en ninguna de las anualidades desde el año 2019 hasta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de actualización: 09/04/2026</w:t>
      </w:r>
    </w:p>
    <w:sectPr>
      <w:headerReference r:id="rId7" w:type="default"/>
      <w:pgSz w:h="16838" w:w="11906" w:orient="portrait"/>
      <w:pgMar w:bottom="1440" w:top="1008" w:left="1440" w:right="14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before="0" w:lineRule="auto"/>
      <w:rPr/>
    </w:pPr>
    <w:r w:rsidDel="00000000" w:rsidR="00000000" w:rsidRPr="00000000">
      <w:rPr/>
      <w:drawing>
        <wp:inline distB="0" distT="0" distL="0" distR="0">
          <wp:extent cx="6000750" cy="140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0" cy="140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aaaaaa" w:space="0" w:sz="4" w:val="single"/>
      </w:pBdr>
      <w:spacing w:after="0" w:before="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ftoF/EYa2d7WpJNsbUKZ1e2Lw==">CgMxLjA4AHIhMTlUREpaSFRVZEkzdlV0aWNxcnRlR01uUkJ0WVh1d2gw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