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1106 - Gasto efectuado en concepto de arrendamiento de bienes inmuebles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0" w:lineRule="auto"/>
        <w:rPr>
          <w:rFonts w:ascii="Arial" w:cs="Arial" w:eastAsia="Arial" w:hAnsi="Arial"/>
          <w:b w:val="0"/>
          <w:bCs w:val="0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8"/>
          <w:szCs w:val="28"/>
          <w:rtl w:val="0"/>
        </w:rPr>
        <w:t xml:space="preserve">El Club Baloncesto Gran Canaria no ha efectuado gastos en concepto de arrendamiento de bienes inmuebles para ninguna de las anualidades desde el año 2019 hasta 202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Fecha de actualización: 09/04/2026</w:t>
      </w:r>
    </w:p>
    <w:sectPr>
      <w:headerReference r:id="rId7" w:type="default"/>
      <w:pgSz w:h="16838" w:w="11906" w:orient="portrait"/>
      <w:pgMar w:bottom="1440" w:top="1008" w:left="1440" w:right="1440" w:header="36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0" w:before="0" w:lineRule="auto"/>
      <w:rPr/>
    </w:pPr>
    <w:r w:rsidDel="00000000" w:rsidR="00000000" w:rsidRPr="00000000">
      <w:rPr/>
      <w:drawing>
        <wp:inline distB="0" distT="0" distL="0" distR="0">
          <wp:extent cx="6000750" cy="1409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0750" cy="140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bottom w:color="aaaaaa" w:space="0" w:sz="4" w:val="single"/>
      </w:pBdr>
      <w:spacing w:after="0" w:before="8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y+lkj6xAjklUFqR578xhtqlIg==">CgMxLjA4AHIhMTVzem11QmcweTZIRktia211R1l5TGlXR0dlMnRULTNJ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